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36"/>
          <w:szCs w:val="36"/>
          <w:rtl w:val="0"/>
        </w:rPr>
        <w:t xml:space="preserve">Kid Curriculum - Beginner Course 7</w:t>
      </w: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-108.0" w:type="dxa"/>
        <w:tblLayout w:type="fixed"/>
        <w:tblLook w:val="0000"/>
      </w:tblPr>
      <w:tblGrid>
        <w:gridCol w:w="4621"/>
        <w:gridCol w:w="4621"/>
        <w:tblGridChange w:id="0">
          <w:tblGrid>
            <w:gridCol w:w="4621"/>
            <w:gridCol w:w="462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1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Introduce imperative structure (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commands)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(i.e.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alk two blocks and then turn left.)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Commands in another activity involving instructions i.e. “How to…”, classroom instructions, Simon Says...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Community vocab (i.e. 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treet, church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bakery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bank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hospital)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Introduce directions (walk straight, turn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right/left, go to, it is on the corner of…, walk around…, you arrived… you will find...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contextualSpacing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of verb “to be” and verb “to have” in present and past tense - pos/neg/Qs &amp; answers (using emotion, appearance and clothing vocab)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contextualSpacing w:val="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of present, simple past and will-future tense with common verbs (regular and irregular) - pos/neg/Qs and WH-Qs and answers (practice making longer sentences and Qs)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Clothing (I have/I am wearing…)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72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useful everyday vocabulary (nouns and verbs)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3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of past tense &amp; will-future (Qs: Did you travel last year? What did you do there? What did you think of… - Will you travel this summer? → answers pos/neg)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720" w:hanging="36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720" w:hanging="360"/>
              <w:contextualSpacing w:val="1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of “to like” and “want” (i.e. Where do you want to visit?) - pos/neg/Qs &amp; answers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Countries (&amp; nationalities) and cardinal directions (using a map of the world and of Mexico) 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Travel vocab</w:t>
            </w:r>
          </w:p>
          <w:p w:rsidR="00000000" w:rsidDel="00000000" w:rsidP="00000000" w:rsidRDefault="00000000" w:rsidRPr="0000000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144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verbs: travel to, to visit, to see, to eat, to go to (places vocab i.e. pool, beach, city center, market…) &amp; other verbs related to activities while traveling</w:t>
            </w:r>
          </w:p>
          <w:p w:rsidR="00000000" w:rsidDel="00000000" w:rsidP="00000000" w:rsidRDefault="00000000" w:rsidRPr="0000000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44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Transport vocab (by bus/train/car/bike/airplane/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contextualSpacing w:val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ship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Review verb “can” (Can I see a different shirt, please? Can I have a bottle of water, please?) </w:t>
            </w:r>
          </w:p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Introduce conditional “would” (I would like a small pizza, please.)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Store and restaurant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conversations (ordering food)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contextualSpacing w:val="0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5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Introduce modal structures for ‘should’ (recommendation/advice) and ‘must’ (necessity/prohibition) – neg/pos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Review occupation vocab (i.e. A doctor must help sick people./A policeman should stop thieves.) 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6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Introduce ‘have to’ – neg/pos – make sure they understand the difference between ‘don’t have to’ and ‘mustn’t’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Review d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aily routine and community vocab (i.e. I have to brush my teeth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in the morning. I have to go to the doctor at 8 am. I have to go to school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everyday.)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7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Review what is going to be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tested in next class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contextualSpacing w:val="1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Listening and reading activitiy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Numbers 100-1000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Lesson 8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hanging="360"/>
              <w:rPr>
                <w:rFonts w:ascii="Calibri" w:cs="Calibri" w:eastAsia="Calibri" w:hAnsi="Calibri"/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